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3E3" w:rsidRDefault="009003E3" w:rsidP="009003E3">
      <w:pPr>
        <w:pStyle w:val="1"/>
        <w:spacing w:before="0" w:after="0" w:line="240" w:lineRule="auto"/>
        <w:jc w:val="center"/>
        <w:rPr>
          <w:rFonts w:ascii="华文中宋" w:eastAsia="华文中宋" w:hAnsi="华文中宋"/>
          <w:sz w:val="30"/>
          <w:szCs w:val="30"/>
        </w:rPr>
      </w:pPr>
      <w:bookmarkStart w:id="0" w:name="_Toc467760874"/>
      <w:r w:rsidRPr="00384237">
        <w:rPr>
          <w:rFonts w:ascii="华文中宋" w:eastAsia="华文中宋" w:hAnsi="华文中宋" w:hint="eastAsia"/>
          <w:sz w:val="30"/>
          <w:szCs w:val="30"/>
        </w:rPr>
        <w:t>关于中央财政科技计划管理改革过渡期资金管理</w:t>
      </w:r>
    </w:p>
    <w:p w:rsidR="009003E3" w:rsidRDefault="009003E3" w:rsidP="009003E3">
      <w:pPr>
        <w:pStyle w:val="1"/>
        <w:spacing w:before="0" w:after="0" w:line="240" w:lineRule="auto"/>
        <w:jc w:val="center"/>
        <w:rPr>
          <w:rFonts w:ascii="华文中宋" w:eastAsia="华文中宋" w:hAnsi="华文中宋"/>
          <w:sz w:val="30"/>
          <w:szCs w:val="30"/>
        </w:rPr>
      </w:pPr>
      <w:r w:rsidRPr="00384237">
        <w:rPr>
          <w:rFonts w:ascii="华文中宋" w:eastAsia="华文中宋" w:hAnsi="华文中宋" w:hint="eastAsia"/>
          <w:sz w:val="30"/>
          <w:szCs w:val="30"/>
        </w:rPr>
        <w:t xml:space="preserve">有关问题的通知   </w:t>
      </w:r>
      <w:r w:rsidRPr="00384237">
        <w:rPr>
          <w:rFonts w:ascii="华文中宋" w:eastAsia="华文中宋" w:hAnsi="华文中宋"/>
          <w:sz w:val="30"/>
          <w:szCs w:val="30"/>
        </w:rPr>
        <w:t xml:space="preserve">   </w:t>
      </w:r>
      <w:r w:rsidRPr="00384237">
        <w:rPr>
          <w:rFonts w:ascii="华文中宋" w:eastAsia="华文中宋" w:hAnsi="华文中宋" w:hint="eastAsia"/>
          <w:sz w:val="30"/>
          <w:szCs w:val="30"/>
        </w:rPr>
        <w:t xml:space="preserve">     　　</w:t>
      </w:r>
    </w:p>
    <w:p w:rsidR="009003E3" w:rsidRPr="00384237" w:rsidRDefault="009003E3" w:rsidP="009003E3">
      <w:pPr>
        <w:jc w:val="center"/>
        <w:rPr>
          <w:sz w:val="30"/>
          <w:szCs w:val="30"/>
        </w:rPr>
      </w:pPr>
      <w:r w:rsidRPr="009003E3">
        <w:rPr>
          <w:rFonts w:ascii="华文中宋" w:eastAsia="华文中宋" w:hAnsi="华文中宋" w:hint="eastAsia"/>
          <w:color w:val="FF0000"/>
        </w:rPr>
        <w:t>教</w:t>
      </w:r>
      <w:r w:rsidRPr="009003E3">
        <w:rPr>
          <w:rFonts w:ascii="华文中宋" w:eastAsia="华文中宋" w:hAnsi="华文中宋"/>
          <w:color w:val="FF0000"/>
        </w:rPr>
        <w:t>[2015]154号</w:t>
      </w:r>
      <w:bookmarkEnd w:id="0"/>
    </w:p>
    <w:p w:rsidR="009003E3" w:rsidRPr="00384237" w:rsidRDefault="009003E3" w:rsidP="009003E3">
      <w:pPr>
        <w:widowControl/>
        <w:spacing w:line="360" w:lineRule="auto"/>
        <w:jc w:val="left"/>
        <w:rPr>
          <w:rFonts w:ascii="宋体" w:eastAsia="宋体" w:hAnsi="宋体" w:cs="宋体"/>
          <w:color w:val="000000" w:themeColor="text1"/>
          <w:kern w:val="0"/>
          <w:sz w:val="24"/>
          <w:szCs w:val="24"/>
        </w:rPr>
      </w:pPr>
      <w:r w:rsidRPr="00384237">
        <w:rPr>
          <w:rFonts w:ascii="宋体" w:eastAsia="宋体" w:hAnsi="宋体" w:cs="宋体" w:hint="eastAsia"/>
          <w:color w:val="000000" w:themeColor="text1"/>
          <w:kern w:val="0"/>
          <w:sz w:val="24"/>
          <w:szCs w:val="24"/>
        </w:rPr>
        <w:t xml:space="preserve">国务院各部委、各直属机构，各省、自治区、直辖市、计划单列市财政厅（局）、科技厅（委、局），新疆生产建设兵团财务局、科技局，有关单位：　　</w:t>
      </w:r>
    </w:p>
    <w:p w:rsidR="009003E3" w:rsidRPr="00384237" w:rsidRDefault="009003E3" w:rsidP="009003E3">
      <w:pPr>
        <w:widowControl/>
        <w:spacing w:line="360" w:lineRule="auto"/>
        <w:ind w:leftChars="-35" w:left="-73"/>
        <w:jc w:val="left"/>
        <w:rPr>
          <w:rFonts w:ascii="宋体" w:eastAsia="宋体" w:hAnsi="宋体" w:cs="宋体"/>
          <w:color w:val="000000" w:themeColor="text1"/>
          <w:kern w:val="0"/>
          <w:sz w:val="24"/>
          <w:szCs w:val="24"/>
        </w:rPr>
      </w:pPr>
      <w:r w:rsidRPr="00384237">
        <w:rPr>
          <w:rFonts w:ascii="宋体" w:eastAsia="宋体" w:hAnsi="宋体" w:cs="宋体" w:hint="eastAsia"/>
          <w:color w:val="000000" w:themeColor="text1"/>
          <w:kern w:val="0"/>
          <w:sz w:val="24"/>
          <w:szCs w:val="24"/>
        </w:rPr>
        <w:t xml:space="preserve">　　</w:t>
      </w:r>
      <w:r w:rsidRPr="00384237">
        <w:rPr>
          <w:rFonts w:ascii="宋体" w:eastAsia="宋体" w:hAnsi="宋体" w:cs="宋体"/>
          <w:color w:val="000000" w:themeColor="text1"/>
          <w:kern w:val="0"/>
          <w:sz w:val="24"/>
          <w:szCs w:val="24"/>
        </w:rPr>
        <w:t>2014年3月和12月，国务院先后印发《关于改进加强中央财政科研项目和资金管理的若干意见》（国发〔2014〕11号，以下简称11号文）和《关于深化中央财政科技计划（专项、基金等）管理改革的方案》（国发〔2014〕64号，以下简称64号</w:t>
      </w:r>
      <w:bookmarkStart w:id="1" w:name="_GoBack"/>
      <w:bookmarkEnd w:id="1"/>
      <w:r w:rsidRPr="00384237">
        <w:rPr>
          <w:rFonts w:ascii="宋体" w:eastAsia="宋体" w:hAnsi="宋体" w:cs="宋体"/>
          <w:color w:val="000000" w:themeColor="text1"/>
          <w:kern w:val="0"/>
          <w:sz w:val="24"/>
          <w:szCs w:val="24"/>
        </w:rPr>
        <w:t>文），对中央财政科技计划和科研项目资金管理改革做出全面部署。64号文明确，经过三年过渡期，2017年将全面按照新的科技计划体系和管理机制运行。为全面贯彻11号文和64号文精神，加强改革前后有关资金管理政策的衔接，加快建立符合科技创新规律的科研资金管理机制，现就过渡期内中央财</w:t>
      </w:r>
      <w:r w:rsidRPr="00384237">
        <w:rPr>
          <w:rFonts w:ascii="宋体" w:eastAsia="宋体" w:hAnsi="宋体" w:cs="宋体" w:hint="eastAsia"/>
          <w:color w:val="000000" w:themeColor="text1"/>
          <w:kern w:val="0"/>
          <w:sz w:val="24"/>
          <w:szCs w:val="24"/>
        </w:rPr>
        <w:t>政科技计划（专项、基金等）资金管理有关事项通知如下：</w:t>
      </w:r>
    </w:p>
    <w:p w:rsidR="009003E3" w:rsidRPr="00384237" w:rsidRDefault="009003E3" w:rsidP="009003E3">
      <w:pPr>
        <w:widowControl/>
        <w:spacing w:line="360" w:lineRule="auto"/>
        <w:ind w:leftChars="-35" w:left="-73"/>
        <w:jc w:val="left"/>
        <w:rPr>
          <w:rFonts w:ascii="宋体" w:eastAsia="宋体" w:hAnsi="宋体" w:cs="宋体"/>
          <w:color w:val="000000" w:themeColor="text1"/>
          <w:kern w:val="0"/>
          <w:sz w:val="24"/>
          <w:szCs w:val="24"/>
        </w:rPr>
      </w:pPr>
      <w:r w:rsidRPr="00384237">
        <w:rPr>
          <w:rFonts w:ascii="宋体" w:eastAsia="宋体" w:hAnsi="宋体" w:cs="宋体" w:hint="eastAsia"/>
          <w:color w:val="000000" w:themeColor="text1"/>
          <w:kern w:val="0"/>
          <w:sz w:val="24"/>
          <w:szCs w:val="24"/>
        </w:rPr>
        <w:t xml:space="preserve">　　一、</w:t>
      </w:r>
      <w:r w:rsidRPr="00384237">
        <w:rPr>
          <w:rFonts w:ascii="宋体" w:eastAsia="宋体" w:hAnsi="宋体" w:cs="宋体"/>
          <w:color w:val="000000" w:themeColor="text1"/>
          <w:kern w:val="0"/>
          <w:sz w:val="24"/>
          <w:szCs w:val="24"/>
        </w:rPr>
        <w:t>11号文对科研项目资金管理提出了具体明确的改革要求，包括改进项目结余资金管理办法、调整劳务费开支范围、下放预算调整审批权限等。这些改革措施已在实际工作中逐步落实，现行科技计划资金管理办法有关规定与之不一致的，按照11号文执行。</w:t>
      </w:r>
    </w:p>
    <w:p w:rsidR="009003E3" w:rsidRPr="00384237" w:rsidRDefault="009003E3" w:rsidP="009003E3">
      <w:pPr>
        <w:widowControl/>
        <w:spacing w:line="360" w:lineRule="auto"/>
        <w:ind w:leftChars="-35" w:left="-73"/>
        <w:jc w:val="left"/>
        <w:rPr>
          <w:rFonts w:ascii="宋体" w:eastAsia="宋体" w:hAnsi="宋体" w:cs="宋体"/>
          <w:color w:val="000000" w:themeColor="text1"/>
          <w:kern w:val="0"/>
          <w:sz w:val="24"/>
          <w:szCs w:val="24"/>
        </w:rPr>
      </w:pPr>
      <w:r w:rsidRPr="00384237">
        <w:rPr>
          <w:rFonts w:ascii="宋体" w:eastAsia="宋体" w:hAnsi="宋体" w:cs="宋体" w:hint="eastAsia"/>
          <w:color w:val="000000" w:themeColor="text1"/>
          <w:kern w:val="0"/>
          <w:sz w:val="24"/>
          <w:szCs w:val="24"/>
        </w:rPr>
        <w:t xml:space="preserve">　　二、财政部、科技部等部门正在按照改革要求制定或修订相关资金管理办法，《国家自然基金项目资助资金管理办法》已经发布实施；国家重点研发计划、国家科技重大专项等资金管理办法以及科研项目预算编制指南、预算评估评审规范等配套细则，将结合中央财政科技计划管理改革进程制定修订。</w:t>
      </w:r>
    </w:p>
    <w:p w:rsidR="009003E3" w:rsidRPr="00384237" w:rsidRDefault="009003E3" w:rsidP="009003E3">
      <w:pPr>
        <w:widowControl/>
        <w:spacing w:line="360" w:lineRule="auto"/>
        <w:ind w:leftChars="-35" w:left="-73"/>
        <w:jc w:val="left"/>
        <w:rPr>
          <w:rFonts w:ascii="宋体" w:eastAsia="宋体" w:hAnsi="宋体" w:cs="宋体"/>
          <w:color w:val="000000" w:themeColor="text1"/>
          <w:kern w:val="0"/>
          <w:sz w:val="24"/>
          <w:szCs w:val="24"/>
        </w:rPr>
      </w:pPr>
      <w:r w:rsidRPr="00384237">
        <w:rPr>
          <w:rFonts w:ascii="宋体" w:eastAsia="宋体" w:hAnsi="宋体" w:cs="宋体" w:hint="eastAsia"/>
          <w:color w:val="000000" w:themeColor="text1"/>
          <w:kern w:val="0"/>
          <w:sz w:val="24"/>
          <w:szCs w:val="24"/>
        </w:rPr>
        <w:t xml:space="preserve">　　三、目前，科技部、财政部正在积极开展中央财政科技计划（专项、基金等）优化整合工作，</w:t>
      </w:r>
      <w:r w:rsidRPr="00384237">
        <w:rPr>
          <w:rFonts w:ascii="宋体" w:eastAsia="宋体" w:hAnsi="宋体" w:cs="宋体"/>
          <w:color w:val="000000" w:themeColor="text1"/>
          <w:kern w:val="0"/>
          <w:sz w:val="24"/>
          <w:szCs w:val="24"/>
        </w:rPr>
        <w:t>2015年初预算中通过取消、规范支持范围、规范预算管理渠道三种方式进行。对于取消的，除经审核保留的延续拨款外，不再安排新项目；对于支持某一产业或领域发展的专项资金，主要规范其支持范围，不再支持科技研发工作；对于规范预算管理渠道的，2015年先划转渠道并加快优化整合，整合到位前管理方式暂按现有办法执行。</w:t>
      </w:r>
    </w:p>
    <w:p w:rsidR="009003E3" w:rsidRPr="00384237" w:rsidRDefault="009003E3" w:rsidP="009003E3">
      <w:pPr>
        <w:widowControl/>
        <w:spacing w:line="360" w:lineRule="auto"/>
        <w:ind w:leftChars="-35" w:left="-73"/>
        <w:jc w:val="left"/>
        <w:rPr>
          <w:rFonts w:ascii="宋体" w:eastAsia="宋体" w:hAnsi="宋体" w:cs="宋体"/>
          <w:color w:val="000000" w:themeColor="text1"/>
          <w:kern w:val="0"/>
          <w:sz w:val="24"/>
          <w:szCs w:val="24"/>
        </w:rPr>
      </w:pPr>
      <w:r w:rsidRPr="00384237">
        <w:rPr>
          <w:rFonts w:ascii="宋体" w:eastAsia="宋体" w:hAnsi="宋体" w:cs="宋体" w:hint="eastAsia"/>
          <w:color w:val="000000" w:themeColor="text1"/>
          <w:kern w:val="0"/>
          <w:sz w:val="24"/>
          <w:szCs w:val="24"/>
        </w:rPr>
        <w:t xml:space="preserve">　　四、按照</w:t>
      </w:r>
      <w:r w:rsidRPr="00384237">
        <w:rPr>
          <w:rFonts w:ascii="宋体" w:eastAsia="宋体" w:hAnsi="宋体" w:cs="宋体"/>
          <w:color w:val="000000" w:themeColor="text1"/>
          <w:kern w:val="0"/>
          <w:sz w:val="24"/>
          <w:szCs w:val="24"/>
        </w:rPr>
        <w:t>64号文要求，国家重点基础研究发展计划、国家高技术研究发展计划、国家科技支撑计划、国际科技合作与交流专项、产业技术研究与开发资</w:t>
      </w:r>
      <w:r w:rsidRPr="00384237">
        <w:rPr>
          <w:rFonts w:ascii="宋体" w:eastAsia="宋体" w:hAnsi="宋体" w:cs="宋体"/>
          <w:color w:val="000000" w:themeColor="text1"/>
          <w:kern w:val="0"/>
          <w:sz w:val="24"/>
          <w:szCs w:val="24"/>
        </w:rPr>
        <w:lastRenderedPageBreak/>
        <w:t>金、公益性行业科研专项等，将整合形成国家重点研发计划。从2016年起，现有相关资金渠道将不再立项安排新的项目，在严格审核的基础上，只安排在研项目的后续拨款，在研项目仍按照原管理方式管理。在研项目拨款完成后，现有资金渠道将不再保留。其他拟撤销的计划专项也按照该原则执行。</w:t>
      </w:r>
    </w:p>
    <w:p w:rsidR="009003E3" w:rsidRPr="00384237" w:rsidRDefault="009003E3" w:rsidP="009003E3">
      <w:pPr>
        <w:widowControl/>
        <w:spacing w:line="360" w:lineRule="auto"/>
        <w:ind w:leftChars="-35" w:left="-73"/>
        <w:jc w:val="left"/>
        <w:rPr>
          <w:rFonts w:ascii="宋体" w:eastAsia="宋体" w:hAnsi="宋体" w:cs="宋体"/>
          <w:color w:val="000000" w:themeColor="text1"/>
          <w:kern w:val="0"/>
          <w:sz w:val="24"/>
          <w:szCs w:val="24"/>
        </w:rPr>
      </w:pPr>
      <w:r w:rsidRPr="00384237">
        <w:rPr>
          <w:rFonts w:ascii="宋体" w:eastAsia="宋体" w:hAnsi="宋体" w:cs="宋体" w:hint="eastAsia"/>
          <w:color w:val="000000" w:themeColor="text1"/>
          <w:kern w:val="0"/>
          <w:sz w:val="24"/>
          <w:szCs w:val="24"/>
        </w:rPr>
        <w:t xml:space="preserve">　　五、国家重点研发计划通过重点专项组织实施，重点专项由专业机构负责具体管理。概预算管理流程如下：</w:t>
      </w:r>
    </w:p>
    <w:p w:rsidR="009003E3" w:rsidRPr="00384237" w:rsidRDefault="009003E3" w:rsidP="009003E3">
      <w:pPr>
        <w:widowControl/>
        <w:spacing w:line="360" w:lineRule="auto"/>
        <w:ind w:leftChars="-35" w:left="-73"/>
        <w:jc w:val="left"/>
        <w:rPr>
          <w:rFonts w:ascii="宋体" w:eastAsia="宋体" w:hAnsi="宋体" w:cs="宋体"/>
          <w:color w:val="000000" w:themeColor="text1"/>
          <w:kern w:val="0"/>
          <w:sz w:val="24"/>
          <w:szCs w:val="24"/>
        </w:rPr>
      </w:pPr>
      <w:r w:rsidRPr="00384237">
        <w:rPr>
          <w:rFonts w:ascii="宋体" w:eastAsia="宋体" w:hAnsi="宋体" w:cs="宋体" w:hint="eastAsia"/>
          <w:color w:val="000000" w:themeColor="text1"/>
          <w:kern w:val="0"/>
          <w:sz w:val="24"/>
          <w:szCs w:val="24"/>
        </w:rPr>
        <w:t xml:space="preserve">　　——概算的编制和确定。重点专项经审议通过后，其概算由专业机构负责编制，财政部、科技部共同组织概算评估，并按程序批复概算。</w:t>
      </w:r>
    </w:p>
    <w:p w:rsidR="009003E3" w:rsidRPr="00384237" w:rsidRDefault="009003E3" w:rsidP="009003E3">
      <w:pPr>
        <w:widowControl/>
        <w:spacing w:line="360" w:lineRule="auto"/>
        <w:ind w:leftChars="-35" w:left="-73"/>
        <w:jc w:val="left"/>
        <w:rPr>
          <w:rFonts w:ascii="宋体" w:eastAsia="宋体" w:hAnsi="宋体" w:cs="宋体"/>
          <w:color w:val="000000" w:themeColor="text1"/>
          <w:kern w:val="0"/>
          <w:sz w:val="24"/>
          <w:szCs w:val="24"/>
        </w:rPr>
      </w:pPr>
      <w:r w:rsidRPr="00384237">
        <w:rPr>
          <w:rFonts w:ascii="宋体" w:eastAsia="宋体" w:hAnsi="宋体" w:cs="宋体" w:hint="eastAsia"/>
          <w:color w:val="000000" w:themeColor="text1"/>
          <w:kern w:val="0"/>
          <w:sz w:val="24"/>
          <w:szCs w:val="24"/>
        </w:rPr>
        <w:t xml:space="preserve">　　——预算批复及下达。专业机构提出重点专项项目安排及总预算和年度预算安排建议，项目安排建议按程序报送科技部，预算安排建议按照预算申报程序报送财政部。科技部对项目安排建议进行合规性审核，财政部结合科技部意见，按照预算管理要求向专业机构下达预算，专业机构据此安排预算执行。</w:t>
      </w:r>
    </w:p>
    <w:p w:rsidR="009003E3" w:rsidRPr="00384237" w:rsidRDefault="009003E3" w:rsidP="009003E3">
      <w:pPr>
        <w:widowControl/>
        <w:spacing w:line="360" w:lineRule="auto"/>
        <w:ind w:leftChars="-35" w:left="-73"/>
        <w:jc w:val="left"/>
        <w:rPr>
          <w:rFonts w:ascii="宋体" w:eastAsia="宋体" w:hAnsi="宋体" w:cs="宋体"/>
          <w:color w:val="000000" w:themeColor="text1"/>
          <w:kern w:val="0"/>
          <w:sz w:val="24"/>
          <w:szCs w:val="24"/>
        </w:rPr>
      </w:pPr>
      <w:r w:rsidRPr="00384237">
        <w:rPr>
          <w:rFonts w:ascii="宋体" w:eastAsia="宋体" w:hAnsi="宋体" w:cs="宋体" w:hint="eastAsia"/>
          <w:color w:val="000000" w:themeColor="text1"/>
          <w:kern w:val="0"/>
          <w:sz w:val="24"/>
          <w:szCs w:val="24"/>
        </w:rPr>
        <w:t xml:space="preserve">　　——任务书</w:t>
      </w:r>
      <w:r w:rsidRPr="00384237">
        <w:rPr>
          <w:rFonts w:ascii="宋体" w:eastAsia="宋体" w:hAnsi="宋体" w:cs="宋体"/>
          <w:color w:val="000000" w:themeColor="text1"/>
          <w:kern w:val="0"/>
          <w:sz w:val="24"/>
          <w:szCs w:val="24"/>
        </w:rPr>
        <w:t>/预算书签订。专业机构发布项目立项和下达预算通知后，与项目承担单位签订任务书/预算书。</w:t>
      </w:r>
    </w:p>
    <w:p w:rsidR="009003E3" w:rsidRPr="00384237" w:rsidRDefault="009003E3" w:rsidP="009003E3">
      <w:pPr>
        <w:widowControl/>
        <w:spacing w:line="360" w:lineRule="auto"/>
        <w:ind w:leftChars="-35" w:left="-73"/>
        <w:jc w:val="left"/>
        <w:rPr>
          <w:rFonts w:ascii="宋体" w:eastAsia="宋体" w:hAnsi="宋体" w:cs="宋体"/>
          <w:color w:val="000000" w:themeColor="text1"/>
          <w:kern w:val="0"/>
          <w:sz w:val="24"/>
          <w:szCs w:val="24"/>
        </w:rPr>
      </w:pPr>
      <w:r w:rsidRPr="00384237">
        <w:rPr>
          <w:rFonts w:ascii="宋体" w:eastAsia="宋体" w:hAnsi="宋体" w:cs="宋体" w:hint="eastAsia"/>
          <w:color w:val="000000" w:themeColor="text1"/>
          <w:kern w:val="0"/>
          <w:sz w:val="24"/>
          <w:szCs w:val="24"/>
        </w:rPr>
        <w:t xml:space="preserve">　　——资金拨付。完成上述程序后，专业机构按照国库支付相关规定办理资金拨付手续。</w:t>
      </w:r>
    </w:p>
    <w:p w:rsidR="009003E3" w:rsidRPr="00384237" w:rsidRDefault="009003E3" w:rsidP="009003E3">
      <w:pPr>
        <w:widowControl/>
        <w:spacing w:line="360" w:lineRule="auto"/>
        <w:ind w:leftChars="-35" w:left="-73"/>
        <w:jc w:val="left"/>
        <w:rPr>
          <w:rFonts w:ascii="宋体" w:eastAsia="宋体" w:hAnsi="宋体" w:cs="宋体"/>
          <w:color w:val="000000" w:themeColor="text1"/>
          <w:kern w:val="0"/>
          <w:sz w:val="24"/>
          <w:szCs w:val="24"/>
        </w:rPr>
      </w:pPr>
      <w:r w:rsidRPr="00384237">
        <w:rPr>
          <w:rFonts w:ascii="宋体" w:eastAsia="宋体" w:hAnsi="宋体" w:cs="宋体" w:hint="eastAsia"/>
          <w:color w:val="000000" w:themeColor="text1"/>
          <w:kern w:val="0"/>
          <w:sz w:val="24"/>
          <w:szCs w:val="24"/>
        </w:rPr>
        <w:t xml:space="preserve">　　——重点专项具体项目的预算调整及重大事项变更由专业机构受理。重点专项预算的调整，由专业机构按程序报送财政部批复。</w:t>
      </w:r>
    </w:p>
    <w:p w:rsidR="009003E3" w:rsidRPr="00384237" w:rsidRDefault="009003E3" w:rsidP="009003E3">
      <w:pPr>
        <w:widowControl/>
        <w:spacing w:line="360" w:lineRule="auto"/>
        <w:ind w:leftChars="-35" w:left="-73"/>
        <w:jc w:val="left"/>
        <w:rPr>
          <w:rFonts w:ascii="宋体" w:eastAsia="宋体" w:hAnsi="宋体" w:cs="宋体"/>
          <w:color w:val="000000" w:themeColor="text1"/>
          <w:kern w:val="0"/>
          <w:sz w:val="24"/>
          <w:szCs w:val="24"/>
        </w:rPr>
      </w:pPr>
      <w:r w:rsidRPr="00384237">
        <w:rPr>
          <w:rFonts w:ascii="宋体" w:eastAsia="宋体" w:hAnsi="宋体" w:cs="宋体" w:hint="eastAsia"/>
          <w:color w:val="000000" w:themeColor="text1"/>
          <w:kern w:val="0"/>
          <w:sz w:val="24"/>
          <w:szCs w:val="24"/>
        </w:rPr>
        <w:t xml:space="preserve">　　六、国家重点研发计划项目的资金开支范围和标准等暂时参照</w:t>
      </w:r>
      <w:r w:rsidRPr="00384237">
        <w:rPr>
          <w:rFonts w:ascii="宋体" w:eastAsia="宋体" w:hAnsi="宋体" w:cs="宋体"/>
          <w:color w:val="000000" w:themeColor="text1"/>
          <w:kern w:val="0"/>
          <w:sz w:val="24"/>
          <w:szCs w:val="24"/>
        </w:rPr>
        <w:t>11号文、《财政部 科技部关于调整国家科技计划和公益性行业科研专项资金管理办法若干规定的通知》（财教〔2011〕434号）以及《财政部 科技部关于印发〈国家科技支撑计划专项资金管理办法〉的通知》（财教〔2006〕160号）等制度执行，待国家重点研发计划资金管理办法出台后按照新办法执行。</w:t>
      </w:r>
    </w:p>
    <w:p w:rsidR="009003E3" w:rsidRPr="00384237" w:rsidRDefault="009003E3" w:rsidP="009003E3">
      <w:pPr>
        <w:widowControl/>
        <w:spacing w:line="360" w:lineRule="auto"/>
        <w:ind w:leftChars="-35" w:left="-73"/>
        <w:jc w:val="left"/>
        <w:rPr>
          <w:rFonts w:ascii="宋体" w:eastAsia="宋体" w:hAnsi="宋体" w:cs="宋体"/>
          <w:color w:val="000000" w:themeColor="text1"/>
          <w:kern w:val="0"/>
          <w:sz w:val="24"/>
          <w:szCs w:val="24"/>
        </w:rPr>
      </w:pPr>
      <w:r w:rsidRPr="00384237">
        <w:rPr>
          <w:rFonts w:ascii="宋体" w:eastAsia="宋体" w:hAnsi="宋体" w:cs="宋体" w:hint="eastAsia"/>
          <w:color w:val="000000" w:themeColor="text1"/>
          <w:kern w:val="0"/>
          <w:sz w:val="24"/>
          <w:szCs w:val="24"/>
        </w:rPr>
        <w:t xml:space="preserve">　　七、本通知自发布之日起实施。各部门、各地区、各单位应当抓紧做好过渡期衔接的有关工作。为便于沟通交流，财政部、科技部开通了政策咨询邮箱</w:t>
      </w:r>
      <w:r w:rsidRPr="00384237">
        <w:rPr>
          <w:rFonts w:ascii="宋体" w:eastAsia="宋体" w:hAnsi="宋体" w:cs="宋体"/>
          <w:color w:val="000000" w:themeColor="text1"/>
          <w:kern w:val="0"/>
          <w:sz w:val="24"/>
          <w:szCs w:val="24"/>
        </w:rPr>
        <w:t>zhengcejieda@126.com，在执行过程中如遇到问题，请及时向两部门反馈。</w:t>
      </w:r>
    </w:p>
    <w:p w:rsidR="009003E3" w:rsidRPr="00384237" w:rsidRDefault="009003E3" w:rsidP="009003E3">
      <w:pPr>
        <w:widowControl/>
        <w:spacing w:line="360" w:lineRule="auto"/>
        <w:ind w:leftChars="-35" w:left="-73" w:firstLine="907"/>
        <w:jc w:val="left"/>
        <w:rPr>
          <w:rFonts w:ascii="宋体" w:eastAsia="宋体" w:hAnsi="宋体" w:cs="宋体"/>
          <w:color w:val="000000" w:themeColor="text1"/>
          <w:kern w:val="0"/>
          <w:sz w:val="24"/>
          <w:szCs w:val="24"/>
        </w:rPr>
      </w:pPr>
      <w:r w:rsidRPr="00384237">
        <w:rPr>
          <w:rFonts w:ascii="宋体" w:eastAsia="宋体" w:hAnsi="宋体" w:cs="宋体" w:hint="eastAsia"/>
          <w:color w:val="000000" w:themeColor="text1"/>
          <w:kern w:val="0"/>
          <w:sz w:val="24"/>
          <w:szCs w:val="24"/>
        </w:rPr>
        <w:t xml:space="preserve">　　</w:t>
      </w:r>
    </w:p>
    <w:p w:rsidR="009003E3" w:rsidRPr="00384237" w:rsidRDefault="009003E3" w:rsidP="009003E3">
      <w:pPr>
        <w:widowControl/>
        <w:spacing w:after="75" w:line="360" w:lineRule="auto"/>
        <w:ind w:leftChars="365" w:left="766" w:right="75" w:firstLine="493"/>
        <w:jc w:val="left"/>
        <w:rPr>
          <w:rFonts w:ascii="宋体" w:eastAsia="宋体" w:hAnsi="宋体" w:cs="宋体"/>
          <w:color w:val="000000" w:themeColor="text1"/>
          <w:kern w:val="0"/>
          <w:sz w:val="24"/>
          <w:szCs w:val="24"/>
        </w:rPr>
      </w:pPr>
      <w:r w:rsidRPr="00384237">
        <w:rPr>
          <w:rFonts w:ascii="宋体" w:eastAsia="宋体" w:hAnsi="宋体" w:cs="宋体" w:hint="eastAsia"/>
          <w:color w:val="000000" w:themeColor="text1"/>
          <w:kern w:val="0"/>
          <w:sz w:val="24"/>
          <w:szCs w:val="24"/>
        </w:rPr>
        <w:t xml:space="preserve">　</w:t>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t xml:space="preserve">  </w:t>
      </w:r>
      <w:r w:rsidRPr="00384237">
        <w:rPr>
          <w:rFonts w:ascii="宋体" w:eastAsia="宋体" w:hAnsi="宋体" w:cs="宋体" w:hint="eastAsia"/>
          <w:color w:val="000000" w:themeColor="text1"/>
          <w:kern w:val="0"/>
          <w:sz w:val="24"/>
          <w:szCs w:val="24"/>
        </w:rPr>
        <w:t>财政部</w:t>
      </w:r>
      <w:r w:rsidRPr="00384237">
        <w:rPr>
          <w:rFonts w:ascii="宋体" w:eastAsia="宋体" w:hAnsi="宋体" w:cs="宋体"/>
          <w:color w:val="000000" w:themeColor="text1"/>
          <w:kern w:val="0"/>
          <w:sz w:val="24"/>
          <w:szCs w:val="24"/>
        </w:rPr>
        <w:t xml:space="preserve">  科技部    </w:t>
      </w:r>
    </w:p>
    <w:p w:rsidR="00E046A5" w:rsidRDefault="009003E3" w:rsidP="009003E3">
      <w:r w:rsidRPr="00384237">
        <w:rPr>
          <w:rFonts w:ascii="宋体" w:eastAsia="宋体" w:hAnsi="宋体" w:cs="宋体" w:hint="eastAsia"/>
          <w:color w:val="000000" w:themeColor="text1"/>
          <w:kern w:val="0"/>
          <w:sz w:val="24"/>
          <w:szCs w:val="24"/>
        </w:rPr>
        <w:t xml:space="preserve">　　</w:t>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r>
      <w:r>
        <w:rPr>
          <w:rFonts w:ascii="宋体" w:eastAsia="宋体" w:hAnsi="宋体" w:cs="宋体"/>
          <w:color w:val="000000" w:themeColor="text1"/>
          <w:kern w:val="0"/>
          <w:sz w:val="24"/>
          <w:szCs w:val="24"/>
        </w:rPr>
        <w:tab/>
        <w:t xml:space="preserve">  </w:t>
      </w:r>
      <w:r w:rsidRPr="00384237">
        <w:rPr>
          <w:rFonts w:ascii="宋体" w:eastAsia="宋体" w:hAnsi="宋体" w:cs="宋体"/>
          <w:color w:val="000000" w:themeColor="text1"/>
          <w:kern w:val="0"/>
          <w:sz w:val="24"/>
          <w:szCs w:val="24"/>
        </w:rPr>
        <w:t xml:space="preserve">2015年6月17日    </w:t>
      </w:r>
    </w:p>
    <w:sectPr w:rsidR="00E046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7D" w:rsidRDefault="0037527D" w:rsidP="009003E3">
      <w:r>
        <w:separator/>
      </w:r>
    </w:p>
  </w:endnote>
  <w:endnote w:type="continuationSeparator" w:id="0">
    <w:p w:rsidR="0037527D" w:rsidRDefault="0037527D" w:rsidP="0090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7D" w:rsidRDefault="0037527D" w:rsidP="009003E3">
      <w:r>
        <w:separator/>
      </w:r>
    </w:p>
  </w:footnote>
  <w:footnote w:type="continuationSeparator" w:id="0">
    <w:p w:rsidR="0037527D" w:rsidRDefault="0037527D" w:rsidP="00900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AE"/>
    <w:rsid w:val="0037527D"/>
    <w:rsid w:val="006919AE"/>
    <w:rsid w:val="009003E3"/>
    <w:rsid w:val="00E04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FB9A2"/>
  <w15:chartTrackingRefBased/>
  <w15:docId w15:val="{FB1464F3-D0F2-4349-A485-4E47EE44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8"/>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3E3"/>
    <w:pPr>
      <w:widowControl w:val="0"/>
      <w:jc w:val="both"/>
    </w:pPr>
    <w:rPr>
      <w:rFonts w:asciiTheme="minorHAnsi" w:eastAsiaTheme="minorEastAsia" w:hAnsiTheme="minorHAnsi"/>
      <w:sz w:val="21"/>
      <w:szCs w:val="22"/>
    </w:rPr>
  </w:style>
  <w:style w:type="paragraph" w:styleId="1">
    <w:name w:val="heading 1"/>
    <w:basedOn w:val="a"/>
    <w:next w:val="a"/>
    <w:link w:val="10"/>
    <w:uiPriority w:val="9"/>
    <w:qFormat/>
    <w:rsid w:val="009003E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3E3"/>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a4">
    <w:name w:val="页眉 字符"/>
    <w:basedOn w:val="a0"/>
    <w:link w:val="a3"/>
    <w:uiPriority w:val="99"/>
    <w:rsid w:val="009003E3"/>
    <w:rPr>
      <w:sz w:val="18"/>
      <w:szCs w:val="18"/>
    </w:rPr>
  </w:style>
  <w:style w:type="paragraph" w:styleId="a5">
    <w:name w:val="footer"/>
    <w:basedOn w:val="a"/>
    <w:link w:val="a6"/>
    <w:uiPriority w:val="99"/>
    <w:unhideWhenUsed/>
    <w:rsid w:val="009003E3"/>
    <w:pPr>
      <w:tabs>
        <w:tab w:val="center" w:pos="4153"/>
        <w:tab w:val="right" w:pos="8306"/>
      </w:tabs>
      <w:snapToGrid w:val="0"/>
      <w:jc w:val="left"/>
    </w:pPr>
    <w:rPr>
      <w:rFonts w:ascii="Times New Roman" w:eastAsia="宋体" w:hAnsi="Times New Roman"/>
      <w:sz w:val="18"/>
      <w:szCs w:val="18"/>
    </w:rPr>
  </w:style>
  <w:style w:type="character" w:customStyle="1" w:styleId="a6">
    <w:name w:val="页脚 字符"/>
    <w:basedOn w:val="a0"/>
    <w:link w:val="a5"/>
    <w:uiPriority w:val="99"/>
    <w:rsid w:val="009003E3"/>
    <w:rPr>
      <w:sz w:val="18"/>
      <w:szCs w:val="18"/>
    </w:rPr>
  </w:style>
  <w:style w:type="character" w:customStyle="1" w:styleId="10">
    <w:name w:val="标题 1 字符"/>
    <w:basedOn w:val="a0"/>
    <w:link w:val="1"/>
    <w:uiPriority w:val="9"/>
    <w:rsid w:val="009003E3"/>
    <w:rPr>
      <w:rFonts w:asciiTheme="minorHAnsi" w:eastAsiaTheme="minorEastAsia" w:hAnsiTheme="minorHAns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269</Words>
  <Characters>1537</Characters>
  <Application>Microsoft Office Word</Application>
  <DocSecurity>0</DocSecurity>
  <Lines>12</Lines>
  <Paragraphs>3</Paragraphs>
  <ScaleCrop>false</ScaleCrop>
  <Company>1</Company>
  <LinksUpToDate>false</LinksUpToDate>
  <CharactersWithSpaces>1803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2017-03-17T01:53:00Z</dcterms:created>
  <dc:creator>LIFang</dc:creator>
  <lastModifiedBy>LIFang</lastModifiedBy>
  <dcterms:modified xsi:type="dcterms:W3CDTF">2017-03-17T01:56:00Z</dcterms:modified>
  <revision>2</revision>
</coreProperties>
</file>