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E" w:rsidRPr="005D0A61" w:rsidRDefault="00F7363E" w:rsidP="00F7363E">
      <w:pPr>
        <w:pStyle w:val="1"/>
        <w:jc w:val="center"/>
        <w:rPr>
          <w:rFonts w:ascii="华文中宋" w:eastAsia="华文中宋" w:hAnsi="华文中宋"/>
          <w:sz w:val="30"/>
          <w:szCs w:val="30"/>
        </w:rPr>
      </w:pPr>
      <w:bookmarkStart w:id="0" w:name="_Toc467760881"/>
      <w:r w:rsidRPr="005D0A61">
        <w:rPr>
          <w:rFonts w:ascii="华文中宋" w:eastAsia="华文中宋" w:hAnsi="华文中宋"/>
          <w:sz w:val="30"/>
          <w:szCs w:val="30"/>
        </w:rPr>
        <w:t>财政部 科技部关于调整国家科技计划和公益性行业科研专项经费管理办法若干规定的通知</w:t>
      </w:r>
      <w:r w:rsidRPr="005D0A61">
        <w:rPr>
          <w:rFonts w:ascii="华文中宋" w:eastAsia="华文中宋" w:hAnsi="华文中宋" w:hint="eastAsia"/>
          <w:sz w:val="30"/>
          <w:szCs w:val="30"/>
        </w:rPr>
        <w:t xml:space="preserve"> </w:t>
      </w:r>
      <w:r w:rsidRPr="005D0A61">
        <w:rPr>
          <w:rFonts w:ascii="华文中宋" w:eastAsia="华文中宋" w:hAnsi="华文中宋"/>
          <w:sz w:val="30"/>
          <w:szCs w:val="30"/>
        </w:rPr>
        <w:t xml:space="preserve">                      </w:t>
      </w:r>
      <w:r>
        <w:rPr>
          <w:rFonts w:ascii="华文中宋" w:eastAsia="华文中宋" w:hAnsi="华文中宋"/>
          <w:sz w:val="30"/>
          <w:szCs w:val="30"/>
        </w:rPr>
        <w:t xml:space="preserve">  </w:t>
      </w:r>
      <w:r w:rsidRPr="005D0A61">
        <w:rPr>
          <w:rFonts w:ascii="华文中宋" w:eastAsia="华文中宋" w:hAnsi="华文中宋"/>
          <w:sz w:val="30"/>
          <w:szCs w:val="30"/>
        </w:rPr>
        <w:t xml:space="preserve">       </w:t>
      </w:r>
      <w:r>
        <w:rPr>
          <w:rFonts w:ascii="华文中宋" w:eastAsia="华文中宋" w:hAnsi="华文中宋"/>
          <w:sz w:val="30"/>
          <w:szCs w:val="30"/>
        </w:rPr>
        <w:t xml:space="preserve">      </w:t>
      </w:r>
      <w:r w:rsidRPr="00656107">
        <w:rPr>
          <w:rFonts w:ascii="华文中宋" w:eastAsia="华文中宋" w:hAnsi="华文中宋"/>
          <w:color w:val="FF0000"/>
          <w:sz w:val="24"/>
          <w:szCs w:val="24"/>
        </w:rPr>
        <w:t>财教【2</w:t>
      </w:r>
      <w:bookmarkStart w:id="1" w:name="_GoBack"/>
      <w:bookmarkEnd w:id="1"/>
      <w:r w:rsidRPr="00656107">
        <w:rPr>
          <w:rFonts w:ascii="华文中宋" w:eastAsia="华文中宋" w:hAnsi="华文中宋"/>
          <w:color w:val="FF0000"/>
          <w:sz w:val="24"/>
          <w:szCs w:val="24"/>
        </w:rPr>
        <w:t>011】434号</w:t>
      </w:r>
      <w:bookmarkEnd w:id="0"/>
    </w:p>
    <w:p w:rsidR="00F7363E" w:rsidRPr="00A35971" w:rsidRDefault="00F7363E" w:rsidP="00F7363E">
      <w:pPr>
        <w:widowControl/>
        <w:spacing w:line="360" w:lineRule="auto"/>
        <w:jc w:val="left"/>
        <w:rPr>
          <w:rFonts w:ascii="宋体" w:hAnsi="宋体" w:cs="宋体"/>
          <w:color w:val="555555"/>
          <w:kern w:val="0"/>
          <w:sz w:val="24"/>
          <w:szCs w:val="24"/>
        </w:rPr>
      </w:pPr>
      <w:r w:rsidRPr="00A35971">
        <w:rPr>
          <w:rFonts w:ascii="宋体" w:hAnsi="宋体" w:cs="宋体"/>
          <w:color w:val="555555"/>
          <w:kern w:val="0"/>
          <w:sz w:val="24"/>
          <w:szCs w:val="24"/>
        </w:rPr>
        <w:t> </w:t>
      </w:r>
    </w:p>
    <w:p w:rsidR="00F7363E" w:rsidRPr="005D0A61" w:rsidRDefault="00F7363E" w:rsidP="00F7363E">
      <w:pPr>
        <w:widowControl/>
        <w:spacing w:line="360" w:lineRule="auto"/>
        <w:jc w:val="left"/>
        <w:rPr>
          <w:rFonts w:ascii="宋体" w:eastAsia="宋体" w:hAnsi="宋体" w:cs="宋体"/>
          <w:kern w:val="0"/>
          <w:sz w:val="24"/>
          <w:szCs w:val="24"/>
        </w:rPr>
      </w:pPr>
      <w:r w:rsidRPr="005D0A61">
        <w:rPr>
          <w:rFonts w:ascii="宋体" w:eastAsia="宋体" w:hAnsi="宋体" w:cs="宋体"/>
          <w:kern w:val="0"/>
          <w:sz w:val="24"/>
          <w:szCs w:val="24"/>
        </w:rPr>
        <w:t>国务院各部委、各直属机构，总装备部，新疆生产建设兵团，各省、自治区、直辖市、计划单列市财政厅（局）、科技厅（委、局），有关单位：</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2006年，财政部、科技部共同制定了《国家重点基础研究发展计划专项经费管理办法》、《国家科技支撑计划专项经费管理办法》、《国家高技术研究发展计划（863计划）专项经费管理办法》和《公益性行业科研专项经费管理试行办法》（财教[2006]159号、160号、163号和219号，以下简称《经费管理办法》）。为进一步改革和加强科研经费管理，针对《经费管理办法》执行过程中存在的需要进一步明确和解决的问题，现就相关国家科技计划课题和公益性行业科研专项项目（以下统一简称课题）经费管理和使用的有关事项通知如下：</w:t>
      </w:r>
    </w:p>
    <w:p w:rsidR="00F7363E" w:rsidRPr="005D0A61" w:rsidRDefault="00F7363E" w:rsidP="00F7363E">
      <w:pPr>
        <w:widowControl/>
        <w:spacing w:before="240" w:line="360" w:lineRule="auto"/>
        <w:ind w:firstLine="420"/>
        <w:jc w:val="left"/>
        <w:rPr>
          <w:rFonts w:ascii="宋体" w:eastAsia="宋体" w:hAnsi="宋体" w:cs="宋体"/>
          <w:b/>
          <w:kern w:val="0"/>
          <w:sz w:val="24"/>
          <w:szCs w:val="24"/>
        </w:rPr>
      </w:pPr>
      <w:r w:rsidRPr="005D0A61">
        <w:rPr>
          <w:rFonts w:ascii="宋体" w:eastAsia="宋体" w:hAnsi="宋体" w:cs="宋体"/>
          <w:b/>
          <w:kern w:val="0"/>
          <w:sz w:val="24"/>
          <w:szCs w:val="24"/>
        </w:rPr>
        <w:t>一、调整课题经费开支范围</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为适应科研活动规律的需要，落实财政科学化精细化管理要求，建立课题间接成本补偿机制，将课题经费分为直接费用和间接费用。</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1.直接费用是指在课题研究开发过程中发生的与之直接相关的费用，主要包括设备费、材料费、测试化验加工费、燃料动力费、差旅费、会议费、国际合作与交流费、出版/文献/信息传播/知识产权事务费、劳务费、专家咨询费和其他支出等。</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2.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lastRenderedPageBreak/>
        <w:t>间接费用使用分段超额累退比例法计算并实行总额控制，按照不超过课题经费中</w:t>
      </w:r>
      <w:r w:rsidRPr="005D0A61">
        <w:rPr>
          <w:rFonts w:ascii="宋体" w:eastAsia="宋体" w:hAnsi="宋体" w:cs="宋体"/>
          <w:kern w:val="0"/>
          <w:sz w:val="24"/>
          <w:szCs w:val="24"/>
          <w:u w:val="single"/>
        </w:rPr>
        <w:t>直接费用</w:t>
      </w:r>
      <w:r w:rsidRPr="005D0A61">
        <w:rPr>
          <w:rFonts w:ascii="宋体" w:eastAsia="宋体" w:hAnsi="宋体" w:cs="宋体"/>
          <w:kern w:val="0"/>
          <w:sz w:val="24"/>
          <w:szCs w:val="24"/>
        </w:rPr>
        <w:t>扣除</w:t>
      </w:r>
      <w:r w:rsidRPr="005D0A61">
        <w:rPr>
          <w:rFonts w:ascii="宋体" w:eastAsia="宋体" w:hAnsi="宋体" w:cs="宋体"/>
          <w:kern w:val="0"/>
          <w:sz w:val="24"/>
          <w:szCs w:val="24"/>
          <w:u w:val="single"/>
        </w:rPr>
        <w:t>设备购置费</w:t>
      </w:r>
      <w:r w:rsidRPr="005D0A61">
        <w:rPr>
          <w:rFonts w:ascii="宋体" w:eastAsia="宋体" w:hAnsi="宋体" w:cs="宋体"/>
          <w:kern w:val="0"/>
          <w:sz w:val="24"/>
          <w:szCs w:val="24"/>
        </w:rPr>
        <w:t>后的一定比例核定，具体比例如下：</w:t>
      </w:r>
    </w:p>
    <w:p w:rsidR="00F7363E" w:rsidRPr="005D0A61" w:rsidRDefault="00F7363E" w:rsidP="00F7363E">
      <w:pPr>
        <w:widowControl/>
        <w:spacing w:line="360" w:lineRule="auto"/>
        <w:ind w:left="780" w:firstLineChars="200" w:firstLine="480"/>
        <w:jc w:val="left"/>
        <w:rPr>
          <w:rFonts w:ascii="宋体" w:eastAsia="宋体" w:hAnsi="宋体" w:cs="宋体"/>
          <w:i/>
          <w:kern w:val="0"/>
          <w:sz w:val="24"/>
          <w:szCs w:val="24"/>
        </w:rPr>
      </w:pPr>
      <w:r w:rsidRPr="005D0A61">
        <w:rPr>
          <w:rFonts w:ascii="宋体" w:eastAsia="宋体" w:hAnsi="宋体" w:cs="宋体"/>
          <w:i/>
          <w:kern w:val="0"/>
          <w:sz w:val="24"/>
          <w:szCs w:val="24"/>
        </w:rPr>
        <w:t>500万元及以下部分不超过20%；</w:t>
      </w:r>
    </w:p>
    <w:p w:rsidR="00F7363E" w:rsidRPr="005D0A61" w:rsidRDefault="00F7363E" w:rsidP="00F7363E">
      <w:pPr>
        <w:widowControl/>
        <w:spacing w:line="360" w:lineRule="auto"/>
        <w:ind w:left="780" w:firstLineChars="200" w:firstLine="480"/>
        <w:jc w:val="left"/>
        <w:rPr>
          <w:rFonts w:ascii="宋体" w:eastAsia="宋体" w:hAnsi="宋体" w:cs="宋体"/>
          <w:i/>
          <w:kern w:val="0"/>
          <w:sz w:val="24"/>
          <w:szCs w:val="24"/>
        </w:rPr>
      </w:pPr>
      <w:r w:rsidRPr="005D0A61">
        <w:rPr>
          <w:rFonts w:ascii="宋体" w:eastAsia="宋体" w:hAnsi="宋体" w:cs="宋体"/>
          <w:i/>
          <w:kern w:val="0"/>
          <w:sz w:val="24"/>
          <w:szCs w:val="24"/>
        </w:rPr>
        <w:t>超过500万元至1000万元的部分不超过13%；</w:t>
      </w:r>
    </w:p>
    <w:p w:rsidR="00F7363E" w:rsidRPr="005D0A61" w:rsidRDefault="00F7363E" w:rsidP="00F7363E">
      <w:pPr>
        <w:widowControl/>
        <w:spacing w:line="360" w:lineRule="auto"/>
        <w:ind w:left="780" w:firstLineChars="200" w:firstLine="480"/>
        <w:jc w:val="left"/>
        <w:rPr>
          <w:rFonts w:ascii="宋体" w:eastAsia="宋体" w:hAnsi="宋体" w:cs="宋体"/>
          <w:kern w:val="0"/>
          <w:sz w:val="24"/>
          <w:szCs w:val="24"/>
        </w:rPr>
      </w:pPr>
      <w:r w:rsidRPr="005D0A61">
        <w:rPr>
          <w:rFonts w:ascii="宋体" w:eastAsia="宋体" w:hAnsi="宋体" w:cs="宋体"/>
          <w:i/>
          <w:kern w:val="0"/>
          <w:sz w:val="24"/>
          <w:szCs w:val="24"/>
        </w:rPr>
        <w:t>超过1000万元的部分不超过10%。</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t>间接费用中绩效支出不超过直接费用扣除设备购置费后的5%。</w:t>
      </w:r>
    </w:p>
    <w:p w:rsidR="00F7363E" w:rsidRPr="005D0A61" w:rsidRDefault="00F7363E" w:rsidP="00F7363E">
      <w:pPr>
        <w:widowControl/>
        <w:spacing w:line="360" w:lineRule="auto"/>
        <w:ind w:firstLineChars="200" w:firstLine="480"/>
        <w:jc w:val="left"/>
        <w:rPr>
          <w:rFonts w:ascii="宋体" w:eastAsia="宋体" w:hAnsi="宋体" w:cs="宋体"/>
          <w:kern w:val="0"/>
          <w:sz w:val="24"/>
        </w:rPr>
      </w:pPr>
      <w:r w:rsidRPr="005D0A61">
        <w:rPr>
          <w:rFonts w:ascii="宋体" w:eastAsia="宋体" w:hAnsi="宋体" w:cs="宋体"/>
          <w:kern w:val="0"/>
          <w:sz w:val="24"/>
          <w:szCs w:val="24"/>
        </w:rPr>
        <w:t>间接费用按课题统一核定，由课题承担单位和课题合作单位根据各自承担的研究任务和经费额度，协商提出分配方案，在课题预算（书）中明确，并分别纳入各自单位财务统一管理，统筹安排使用。其中绩效支出，应当在对科研工作进行绩效考核的基础上，结合科研人员实绩，由所在单位根据国家有关规定统筹安排。课题承担单位和课题合作单位不得在核定的间接费用以外再以任何名义在课题经费中重复提取、列支相关费用。</w:t>
      </w:r>
    </w:p>
    <w:p w:rsidR="00F7363E" w:rsidRPr="005D0A61" w:rsidRDefault="00F7363E" w:rsidP="00F7363E">
      <w:pPr>
        <w:widowControl/>
        <w:spacing w:before="240" w:line="360" w:lineRule="auto"/>
        <w:ind w:firstLineChars="200" w:firstLine="482"/>
        <w:jc w:val="left"/>
        <w:rPr>
          <w:rFonts w:ascii="宋体" w:eastAsia="宋体" w:hAnsi="宋体" w:cs="宋体"/>
          <w:kern w:val="0"/>
          <w:sz w:val="24"/>
          <w:szCs w:val="24"/>
        </w:rPr>
      </w:pPr>
      <w:r w:rsidRPr="005D0A61">
        <w:rPr>
          <w:rFonts w:ascii="宋体" w:eastAsia="宋体" w:hAnsi="宋体" w:cs="宋体"/>
          <w:b/>
          <w:kern w:val="0"/>
          <w:sz w:val="24"/>
          <w:szCs w:val="24"/>
        </w:rPr>
        <w:t xml:space="preserve"> 二、强化预算编制和评估评审要求</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t>课题申请单位应当在认真学习理解《经费管理办法》的基础上，根据课题研究开发任务的特点和实际需要，按照政策相符性、目标相关性和经济合理性的原则，科学、合理、真实地编制课题经费预算。课题直接费用各项支出不得简单按比例编列。其中，劳务费预算没有比例限制，课题申请单位应当结合单位实际和相关人员参与课题的全时工作时间，科学合理、实事求是地编制，并严格按照《经费管理办法》规定的开支范围使用；专家咨询费预算应当按照《经费管理办法》规定的标准据实编制；设备费预算编制中应当注意严格控制设备购置，鼓励共享、试制、租赁专用仪器设备以及对现有仪器设备进行升级改造，确有必要购买的，单位应当对拟购置设备的必要性、现有同样设备的利用情况以及购置设备的开放共享方案等进行单独说明。</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t>课题经费预算评估评审中，有关中介机构和咨询专家应当科学合理地提出预算审核建议，不得简单化地按比例核减课题直接费用预算。建立健全课题经费预算评估评审的沟通反馈机制。</w:t>
      </w:r>
    </w:p>
    <w:p w:rsidR="00F7363E" w:rsidRPr="005D0A61" w:rsidRDefault="00F7363E" w:rsidP="00F7363E">
      <w:pPr>
        <w:widowControl/>
        <w:spacing w:before="240" w:line="360" w:lineRule="auto"/>
        <w:ind w:firstLine="420"/>
        <w:jc w:val="left"/>
        <w:rPr>
          <w:rFonts w:ascii="宋体" w:eastAsia="宋体" w:hAnsi="宋体" w:cs="宋体"/>
          <w:b/>
          <w:kern w:val="0"/>
          <w:sz w:val="24"/>
          <w:szCs w:val="24"/>
        </w:rPr>
      </w:pPr>
      <w:r w:rsidRPr="005D0A61">
        <w:rPr>
          <w:rFonts w:ascii="宋体" w:eastAsia="宋体" w:hAnsi="宋体" w:cs="宋体"/>
          <w:b/>
          <w:kern w:val="0"/>
          <w:sz w:val="24"/>
          <w:szCs w:val="24"/>
        </w:rPr>
        <w:t>三、加强资金拨付和结存结余经费的管理</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lastRenderedPageBreak/>
        <w:t>科技部、相关主管部门应当按照部门预算管理的规定，提前组织课题立项等相关工作，并按照部门预算编报的时间要求及时将预算安排建议报送财政部，提高年初预算到位率。财政部及时审核并通过部门预算下达课题经费预算。科技部、相关主管部门应当按照财政国库管理有关规定及时支付资金，财政部正式批复部门预算前可以从</w:t>
      </w:r>
      <w:smartTag w:uri="urn:schemas-microsoft-com:office:smarttags" w:element="chsdate">
        <w:smartTagPr>
          <w:attr w:name="IsROCDate" w:val="False"/>
          <w:attr w:name="IsLunarDate" w:val="False"/>
          <w:attr w:name="Day" w:val="1"/>
          <w:attr w:name="Month" w:val="1"/>
          <w:attr w:name="Year" w:val="2011"/>
        </w:smartTagPr>
        <w:r w:rsidRPr="005D0A61">
          <w:rPr>
            <w:rFonts w:ascii="宋体" w:eastAsia="宋体" w:hAnsi="宋体" w:cs="宋体"/>
            <w:kern w:val="0"/>
            <w:sz w:val="24"/>
            <w:szCs w:val="24"/>
          </w:rPr>
          <w:t>1月1日起</w:t>
        </w:r>
      </w:smartTag>
      <w:r w:rsidRPr="005D0A61">
        <w:rPr>
          <w:rFonts w:ascii="宋体" w:eastAsia="宋体" w:hAnsi="宋体" w:cs="宋体"/>
          <w:kern w:val="0"/>
          <w:sz w:val="24"/>
          <w:szCs w:val="24"/>
        </w:rPr>
        <w:t>按“二上”预算数的1/4支付资金。</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t>课题承担单位应当根据课题年度实施的实际需要申请预算，本着勤俭节约的原则合理安排支出，最大限度地减少资金的结存结余，提高课题年度预算的执行效率。</w:t>
      </w:r>
    </w:p>
    <w:p w:rsidR="00F7363E" w:rsidRPr="005D0A61" w:rsidRDefault="00F7363E" w:rsidP="00F7363E">
      <w:pPr>
        <w:widowControl/>
        <w:spacing w:line="360" w:lineRule="auto"/>
        <w:ind w:firstLineChars="200" w:firstLine="480"/>
        <w:jc w:val="left"/>
        <w:rPr>
          <w:rFonts w:ascii="宋体" w:eastAsia="宋体" w:hAnsi="宋体" w:cs="宋体"/>
          <w:kern w:val="0"/>
          <w:sz w:val="24"/>
          <w:szCs w:val="24"/>
        </w:rPr>
      </w:pPr>
      <w:r w:rsidRPr="005D0A61">
        <w:rPr>
          <w:rFonts w:ascii="宋体" w:eastAsia="宋体" w:hAnsi="宋体" w:cs="宋体"/>
          <w:kern w:val="0"/>
          <w:sz w:val="24"/>
          <w:szCs w:val="24"/>
        </w:rPr>
        <w:t xml:space="preserve">课题结存结余经费的管理按照《经费管理办法》有关规定执行。课题结存经费是指未完成课题年度经费预算减去年度实际支出后的余额，课题在研期间，结存经费应当留由课题承担单位结转下一年度按规定继续使用。课题结余经费是指课题结束或因故终止时，课题经费总预算减去实际总支出后的余额，因故终止课题结余经费还应当包括处理已购物资、材料及仪器、设备的变价收入。课题结余经费应当按原渠道收回科技部或相关主管部门，由科技部或相关主管部门按照财政部关于财政拨款结转和结余资金管理的有关规定执行。 </w:t>
      </w:r>
    </w:p>
    <w:p w:rsidR="00F7363E" w:rsidRPr="005D0A61" w:rsidRDefault="00F7363E" w:rsidP="00F7363E">
      <w:pPr>
        <w:widowControl/>
        <w:spacing w:before="240" w:line="360" w:lineRule="auto"/>
        <w:ind w:firstLine="420"/>
        <w:jc w:val="left"/>
        <w:rPr>
          <w:rFonts w:ascii="宋体" w:eastAsia="宋体" w:hAnsi="宋体" w:cs="宋体"/>
          <w:b/>
          <w:kern w:val="0"/>
          <w:sz w:val="24"/>
          <w:szCs w:val="24"/>
        </w:rPr>
      </w:pPr>
      <w:r w:rsidRPr="005D0A61">
        <w:rPr>
          <w:rFonts w:ascii="宋体" w:eastAsia="宋体" w:hAnsi="宋体" w:cs="宋体"/>
          <w:b/>
          <w:kern w:val="0"/>
          <w:sz w:val="24"/>
          <w:szCs w:val="24"/>
        </w:rPr>
        <w:t>四、简化预算调整程序</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1.课题预算总额调整，课题承担单位变更等应当按原程序报财政部批准。</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2.相关国家科技计划课题总预算不变，课题合作单位之间以及增加或减少课题合作单位的预算调整，应当按原程序报科技部批准。</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3. 课题总预算不变的情况下，直接费用中材料费、测试化验加工费、燃料动力费、出版/文献/信息传播/知识产权事务费、其他支出预算如需调整，课题组和课题负责人根据实施过程中科研活动的实际需要提出申请，由课题承担单位审批，科技部或相关主管部门在中期财务检查或财务验收时予以确认。设备费、差旅费、会议费、国际合作与交流费、劳务费、专家咨询费预算一般不予调增，如需调减可按上述程序调剂用于课题其他方面支出。间接费用不得调整。</w:t>
      </w:r>
    </w:p>
    <w:p w:rsidR="00F7363E" w:rsidRPr="005D0A61" w:rsidRDefault="00F7363E" w:rsidP="00F7363E">
      <w:pPr>
        <w:widowControl/>
        <w:spacing w:before="240" w:line="360" w:lineRule="auto"/>
        <w:ind w:firstLine="420"/>
        <w:jc w:val="left"/>
        <w:rPr>
          <w:rFonts w:ascii="宋体" w:eastAsia="宋体" w:hAnsi="宋体" w:cs="宋体"/>
          <w:b/>
          <w:kern w:val="0"/>
          <w:sz w:val="24"/>
          <w:szCs w:val="24"/>
        </w:rPr>
      </w:pPr>
      <w:r w:rsidRPr="005D0A61">
        <w:rPr>
          <w:rFonts w:ascii="宋体" w:eastAsia="宋体" w:hAnsi="宋体" w:cs="宋体"/>
          <w:b/>
          <w:kern w:val="0"/>
          <w:sz w:val="24"/>
          <w:szCs w:val="24"/>
        </w:rPr>
        <w:t>五、强化课题承担单位和课题合作单位的职责</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lastRenderedPageBreak/>
        <w:t>1.课题承担单位是课题经费使用和管理的责任主体，应当建立健全经费管理制度，完善内部控制和监督制约机制，严格课题预算调整审批程序，按时提出财务验收申请，配合做好财务审计、财务验收等工作，及时按规定办理财务结账手续，并采取有效措施切实保障科研、财务、行政等管理部门对课题实施的全面支撑，积极推动本单位现有仪器设备等科研条件对课题的开放共享。</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课题合作单位应当按照《经费管理办法》的规定，对课题经费和自筹经费分别单独核算，自觉接受有关监督检查。</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课题承担单位和课题合作单位应当严格执行国家关于政府采购、招投标、资产管理等的规定。行政事业单位使用课题经费形成的固定资产属于国有资产，一般由单位进行使用和管理，国家有权进行调配。企业使用课题经费形成的固定资产，按照《企业财务通则》等相关规章制度执行。</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2.课题承担单位和课题合作单位应当按照国家有关规定强化间接费用的管理，制定具体的管理办法。遵循公开、公平、公正的原则，合理统筹安排绩效支出，提升科研人员工作绩效水平。</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3.课题承担单位应当及时按预算核拨课题合作单位经费，并加强对外拨经费的监督管理。课题承担单位和课题合作单位不得层层转拨、变相转拨经费。</w:t>
      </w:r>
    </w:p>
    <w:p w:rsidR="00F7363E" w:rsidRPr="005D0A61" w:rsidRDefault="00F7363E" w:rsidP="00F7363E">
      <w:pPr>
        <w:widowControl/>
        <w:spacing w:before="240" w:line="360" w:lineRule="auto"/>
        <w:ind w:firstLine="420"/>
        <w:jc w:val="left"/>
        <w:rPr>
          <w:rFonts w:ascii="宋体" w:eastAsia="宋体" w:hAnsi="宋体" w:cs="宋体"/>
          <w:b/>
          <w:kern w:val="0"/>
          <w:sz w:val="24"/>
          <w:szCs w:val="24"/>
        </w:rPr>
      </w:pPr>
      <w:r w:rsidRPr="005D0A61">
        <w:rPr>
          <w:rFonts w:ascii="宋体" w:eastAsia="宋体" w:hAnsi="宋体" w:cs="宋体"/>
          <w:b/>
          <w:kern w:val="0"/>
          <w:sz w:val="24"/>
          <w:szCs w:val="24"/>
        </w:rPr>
        <w:t>六、加强监督检查</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1.财政部、科技部、相关主管部门按照《经费管理办法》规定的职责分工对课题经费通过专项审计、中期财务检查、财务验收、绩效评价等多种方式实施监督检查，严肃处理各类违法违规使用经费的行为，切实维护财经法规的严肃性。</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2.建立健全信用管理机制。科技部、相关主管部门对课题承担单位和课题合作单位、课题负责人等科研人员、中介机构和咨询专家在经费管理使用、评估评审方面的信誉度进行评价和记录，作为今后参加国家科技计划和公益性行业科研专项科研和评估评审等活动的重要依据。</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3.积极推进信息公开。科技部、相关主管部门应当及时对非涉密课题预算安排情况进行公示，接受社会监督；逐步探索建立课题绩效情况公示制度；积极推进对违规使用科研经费的行为进行公开。课题承担单位应当逐步建立课题</w:t>
      </w:r>
      <w:r w:rsidRPr="005D0A61">
        <w:rPr>
          <w:rFonts w:ascii="宋体" w:eastAsia="宋体" w:hAnsi="宋体" w:cs="宋体"/>
          <w:kern w:val="0"/>
          <w:sz w:val="24"/>
          <w:szCs w:val="24"/>
        </w:rPr>
        <w:lastRenderedPageBreak/>
        <w:t xml:space="preserve">信息公开制度，在单位内部对课题组人员构成、课题设备购置、预算调整、外拨经费、间接费用使用情况等进行公开。 </w:t>
      </w:r>
    </w:p>
    <w:p w:rsidR="00F7363E" w:rsidRPr="005D0A61" w:rsidRDefault="00F7363E" w:rsidP="00F7363E">
      <w:pPr>
        <w:widowControl/>
        <w:spacing w:line="360" w:lineRule="auto"/>
        <w:ind w:firstLine="420"/>
        <w:jc w:val="left"/>
        <w:rPr>
          <w:rFonts w:ascii="宋体" w:eastAsia="宋体" w:hAnsi="宋体" w:cs="宋体"/>
          <w:kern w:val="0"/>
          <w:sz w:val="24"/>
          <w:szCs w:val="24"/>
        </w:rPr>
      </w:pPr>
      <w:r w:rsidRPr="005D0A61">
        <w:rPr>
          <w:rFonts w:ascii="宋体" w:eastAsia="宋体" w:hAnsi="宋体" w:cs="宋体"/>
          <w:kern w:val="0"/>
          <w:sz w:val="24"/>
          <w:szCs w:val="24"/>
        </w:rPr>
        <w:t>本通知自发布之日起施行。经费管理的其他有关规定，仍按照《经费管理办法》执行，其中涉及相关国家科技计划的定位、承担单位资质、课题组织等方面与相关国家科技计划管理办法规定不一致的内容，以相关国家科技计划管理办法为准。对于</w:t>
      </w:r>
      <w:smartTag w:uri="urn:schemas-microsoft-com:office:smarttags" w:element="chsdate">
        <w:smartTagPr>
          <w:attr w:name="IsROCDate" w:val="False"/>
          <w:attr w:name="IsLunarDate" w:val="False"/>
          <w:attr w:name="Day" w:val="1"/>
          <w:attr w:name="Month" w:val="1"/>
          <w:attr w:name="Year" w:val="2011"/>
        </w:smartTagPr>
        <w:r w:rsidRPr="005D0A61">
          <w:rPr>
            <w:rFonts w:ascii="宋体" w:eastAsia="宋体" w:hAnsi="宋体" w:cs="宋体"/>
            <w:kern w:val="0"/>
            <w:sz w:val="24"/>
            <w:szCs w:val="24"/>
          </w:rPr>
          <w:t>2011年1月1日</w:t>
        </w:r>
      </w:smartTag>
      <w:r w:rsidRPr="005D0A61">
        <w:rPr>
          <w:rFonts w:ascii="宋体" w:eastAsia="宋体" w:hAnsi="宋体" w:cs="宋体"/>
          <w:kern w:val="0"/>
          <w:sz w:val="24"/>
          <w:szCs w:val="24"/>
        </w:rPr>
        <w:t>至通知发布期间批复总预算的课题，在批复预算总额不变的前提下，分科目预算可按本通知第一条规定相应调整。各有关部门和单位要按照本通知和《经费管理办法》的要求，加强专项经费管理，切实提高经费使用效益。执行中若有问题，请及时函告财政部、科技部。财政部、科技部将针对本通知及有关科技经费管理政策实施情况，选择有代表性的单位，进行跟踪、指导和推动政策落实，总结、评估政策实施效果。</w:t>
      </w:r>
    </w:p>
    <w:p w:rsidR="00F7363E" w:rsidRDefault="00F7363E" w:rsidP="00F7363E">
      <w:pPr>
        <w:widowControl/>
        <w:spacing w:line="360" w:lineRule="auto"/>
        <w:ind w:firstLine="420"/>
        <w:jc w:val="right"/>
        <w:rPr>
          <w:rFonts w:ascii="宋体" w:eastAsia="宋体" w:hAnsi="宋体" w:cs="宋体"/>
          <w:kern w:val="0"/>
          <w:sz w:val="24"/>
          <w:szCs w:val="24"/>
        </w:rPr>
      </w:pPr>
      <w:r w:rsidRPr="005D0A61">
        <w:rPr>
          <w:rFonts w:ascii="宋体" w:eastAsia="宋体" w:hAnsi="宋体" w:cs="宋体"/>
          <w:kern w:val="0"/>
          <w:sz w:val="24"/>
          <w:szCs w:val="24"/>
        </w:rPr>
        <w:t>     </w:t>
      </w:r>
    </w:p>
    <w:p w:rsidR="00F7363E" w:rsidRDefault="00F7363E" w:rsidP="00F7363E">
      <w:pPr>
        <w:widowControl/>
        <w:spacing w:line="360" w:lineRule="auto"/>
        <w:ind w:right="360" w:firstLine="420"/>
        <w:jc w:val="right"/>
        <w:rPr>
          <w:rFonts w:ascii="宋体" w:eastAsia="宋体" w:hAnsi="宋体" w:cs="宋体"/>
          <w:kern w:val="0"/>
          <w:sz w:val="24"/>
          <w:szCs w:val="24"/>
        </w:rPr>
      </w:pPr>
      <w:r w:rsidRPr="005D0A61">
        <w:rPr>
          <w:rFonts w:ascii="宋体" w:eastAsia="宋体" w:hAnsi="宋体" w:cs="宋体"/>
          <w:kern w:val="0"/>
          <w:sz w:val="24"/>
          <w:szCs w:val="24"/>
        </w:rPr>
        <w:t>财政部</w:t>
      </w:r>
      <w:r w:rsidRPr="005D0A61">
        <w:rPr>
          <w:rFonts w:ascii="宋体" w:eastAsia="宋体" w:hAnsi="宋体" w:cs="宋体" w:hint="eastAsia"/>
          <w:kern w:val="0"/>
          <w:sz w:val="24"/>
        </w:rPr>
        <w:t xml:space="preserve"> </w:t>
      </w:r>
      <w:r w:rsidRPr="005D0A61">
        <w:rPr>
          <w:rFonts w:ascii="宋体" w:eastAsia="宋体" w:hAnsi="宋体" w:cs="宋体"/>
          <w:kern w:val="0"/>
          <w:sz w:val="24"/>
        </w:rPr>
        <w:t xml:space="preserve">   </w:t>
      </w:r>
      <w:r w:rsidRPr="005D0A61">
        <w:rPr>
          <w:rFonts w:ascii="宋体" w:eastAsia="宋体" w:hAnsi="宋体" w:cs="宋体"/>
          <w:kern w:val="0"/>
          <w:sz w:val="24"/>
          <w:szCs w:val="24"/>
        </w:rPr>
        <w:t>科学技术部</w:t>
      </w:r>
    </w:p>
    <w:p w:rsidR="00E046A5" w:rsidRDefault="00F7363E" w:rsidP="00F7363E">
      <w:pPr>
        <w:widowControl/>
        <w:spacing w:line="360" w:lineRule="auto"/>
        <w:ind w:right="360" w:firstLine="420"/>
        <w:jc w:val="right"/>
      </w:pPr>
      <w:r>
        <w:rPr>
          <w:rFonts w:ascii="宋体" w:eastAsia="宋体" w:hAnsi="宋体" w:cs="宋体"/>
          <w:kern w:val="0"/>
          <w:sz w:val="24"/>
        </w:rPr>
        <w:t xml:space="preserve">   </w:t>
      </w:r>
      <w:r w:rsidRPr="005D0A61">
        <w:rPr>
          <w:rFonts w:ascii="宋体" w:eastAsia="宋体" w:hAnsi="宋体" w:cs="宋体"/>
          <w:kern w:val="0"/>
          <w:sz w:val="24"/>
          <w:szCs w:val="24"/>
        </w:rPr>
        <w:t>二O一一年九月十四日</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D5" w:rsidRDefault="00427ED5" w:rsidP="00F7363E">
      <w:r>
        <w:separator/>
      </w:r>
    </w:p>
  </w:endnote>
  <w:endnote w:type="continuationSeparator" w:id="0">
    <w:p w:rsidR="00427ED5" w:rsidRDefault="00427ED5" w:rsidP="00F7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D5" w:rsidRDefault="00427ED5" w:rsidP="00F7363E">
      <w:r>
        <w:separator/>
      </w:r>
    </w:p>
  </w:footnote>
  <w:footnote w:type="continuationSeparator" w:id="0">
    <w:p w:rsidR="00427ED5" w:rsidRDefault="00427ED5" w:rsidP="00F7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2D"/>
    <w:rsid w:val="00427ED5"/>
    <w:rsid w:val="00656107"/>
    <w:rsid w:val="00E046A5"/>
    <w:rsid w:val="00F7363E"/>
    <w:rsid w:val="00FA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D04F8FF"/>
  <w15:chartTrackingRefBased/>
  <w15:docId w15:val="{07A23F75-F968-45CB-9E2A-D1EEB2C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3E"/>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F736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63E"/>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F7363E"/>
    <w:rPr>
      <w:sz w:val="18"/>
      <w:szCs w:val="18"/>
    </w:rPr>
  </w:style>
  <w:style w:type="paragraph" w:styleId="a5">
    <w:name w:val="footer"/>
    <w:basedOn w:val="a"/>
    <w:link w:val="a6"/>
    <w:uiPriority w:val="99"/>
    <w:unhideWhenUsed/>
    <w:rsid w:val="00F7363E"/>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F7363E"/>
    <w:rPr>
      <w:sz w:val="18"/>
      <w:szCs w:val="18"/>
    </w:rPr>
  </w:style>
  <w:style w:type="character" w:customStyle="1" w:styleId="10">
    <w:name w:val="标题 1 字符"/>
    <w:basedOn w:val="a0"/>
    <w:link w:val="1"/>
    <w:uiPriority w:val="9"/>
    <w:rsid w:val="00F7363E"/>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3027</Characters>
  <Application>Microsoft Office Word</Application>
  <DocSecurity>0</DocSecurity>
  <Lines>25</Lines>
  <Paragraphs>7</Paragraphs>
  <ScaleCrop>false</ScaleCrop>
  <Company>1</Company>
  <LinksUpToDate>false</LinksUpToDate>
  <CharactersWithSpaces>3550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2017-03-17T02:12:00Z</dcterms:created>
  <dc:creator>LIFang</dc:creator>
  <lastModifiedBy>LIFang</lastModifiedBy>
  <dcterms:modified xsi:type="dcterms:W3CDTF">2017-03-17T02:13:00Z</dcterms:modified>
  <revision>3</revision>
</coreProperties>
</file>